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72" w:rsidRDefault="00C93837" w:rsidP="00C93837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b/>
          <w:bCs/>
          <w:color w:val="333333"/>
          <w:sz w:val="24"/>
          <w:szCs w:val="24"/>
          <w:bdr w:val="none" w:sz="0" w:space="0" w:color="auto" w:frame="1"/>
          <w:lang w:eastAsia="es-MX"/>
        </w:rPr>
      </w:pPr>
      <w:r w:rsidRPr="003148AA">
        <w:rPr>
          <w:rFonts w:ascii="inherit" w:eastAsia="Times New Roman" w:hAnsi="inherit" w:cs="Open Sans"/>
          <w:b/>
          <w:bCs/>
          <w:color w:val="333333"/>
          <w:sz w:val="24"/>
          <w:szCs w:val="24"/>
          <w:bdr w:val="none" w:sz="0" w:space="0" w:color="auto" w:frame="1"/>
          <w:lang w:eastAsia="es-MX"/>
        </w:rPr>
        <w:t>Requisitos y Proceso de Admisión:</w:t>
      </w:r>
    </w:p>
    <w:p w:rsidR="00450A46" w:rsidRPr="003148AA" w:rsidRDefault="00450A46" w:rsidP="00C93837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b/>
          <w:bCs/>
          <w:color w:val="333333"/>
          <w:sz w:val="24"/>
          <w:szCs w:val="24"/>
          <w:bdr w:val="none" w:sz="0" w:space="0" w:color="auto" w:frame="1"/>
          <w:lang w:eastAsia="es-MX"/>
        </w:rPr>
      </w:pPr>
    </w:p>
    <w:p w:rsidR="00DF3098" w:rsidRPr="003148AA" w:rsidRDefault="00DF3098" w:rsidP="003148AA">
      <w:pPr>
        <w:shd w:val="clear" w:color="auto" w:fill="FFFFFF"/>
        <w:spacing w:after="0" w:line="360" w:lineRule="atLeast"/>
        <w:ind w:right="-284"/>
        <w:textAlignment w:val="baseline"/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</w:pP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a)    </w:t>
      </w: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ab/>
        <w:t>Tener una carrera afín a las ciencias de la salud.</w:t>
      </w: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br/>
        <w:t>b)</w:t>
      </w: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ab/>
        <w:t>Estar titulado de licenciatura o bien en trámites finales.</w:t>
      </w: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br/>
        <w:t>c)    </w:t>
      </w: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ab/>
      </w:r>
      <w:r w:rsidR="00D32272"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P</w:t>
      </w: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romedio mínimo de 8.0 en la licenciatura.</w:t>
      </w: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br/>
        <w:t>d)    </w:t>
      </w: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ab/>
        <w:t>Disponibilidad de tiempo completo.</w:t>
      </w: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br/>
        <w:t xml:space="preserve">e) </w:t>
      </w: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ab/>
        <w:t>Enviar en formato digital a la dirección electrónica</w:t>
      </w:r>
      <w:bookmarkStart w:id="0" w:name="_Hlk163046221"/>
      <w:r w:rsid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 xml:space="preserve">: </w:t>
      </w:r>
      <w:hyperlink r:id="rId5" w:history="1">
        <w:r w:rsidR="003148AA" w:rsidRPr="00414B58">
          <w:rPr>
            <w:rStyle w:val="Hipervnculo"/>
            <w:rFonts w:ascii="inherit" w:eastAsia="Times New Roman" w:hAnsi="inherit" w:cs="Open Sans"/>
            <w:bCs/>
            <w:sz w:val="24"/>
            <w:szCs w:val="24"/>
            <w:bdr w:val="none" w:sz="0" w:space="0" w:color="auto" w:frame="1"/>
            <w:lang w:eastAsia="es-MX"/>
          </w:rPr>
          <w:t>Coordinacion.farma@cinvestav.mx</w:t>
        </w:r>
      </w:hyperlink>
      <w:r w:rsid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ab/>
      </w:r>
      <w:r w:rsid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ab/>
      </w: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 xml:space="preserve"> </w:t>
      </w:r>
      <w:bookmarkEnd w:id="0"/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los siguientes documentos:</w:t>
      </w:r>
    </w:p>
    <w:p w:rsidR="00DF3098" w:rsidRPr="003148AA" w:rsidRDefault="00954C0E" w:rsidP="00DF3098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</w:pPr>
      <w:hyperlink r:id="rId6" w:history="1">
        <w:r w:rsidR="00DF3098" w:rsidRPr="003148AA">
          <w:rPr>
            <w:rStyle w:val="Hipervnculo"/>
            <w:rFonts w:ascii="inherit" w:eastAsia="Times New Roman" w:hAnsi="inherit" w:cs="Open Sans"/>
            <w:bCs/>
            <w:sz w:val="24"/>
            <w:szCs w:val="24"/>
            <w:bdr w:val="none" w:sz="0" w:space="0" w:color="auto" w:frame="1"/>
            <w:lang w:eastAsia="es-MX"/>
          </w:rPr>
          <w:t>Solicitud de admisión</w:t>
        </w:r>
      </w:hyperlink>
      <w:r w:rsidR="00DF3098"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 xml:space="preserve">, debidamente </w:t>
      </w:r>
      <w:r w:rsidR="00D34823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completada</w:t>
      </w:r>
      <w:r w:rsidR="00DF3098"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.</w:t>
      </w:r>
    </w:p>
    <w:p w:rsidR="00DF3098" w:rsidRPr="003148AA" w:rsidRDefault="00DF3098" w:rsidP="00DF3098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</w:pP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Certificado total de estudios profesionales, con promedio.</w:t>
      </w:r>
    </w:p>
    <w:p w:rsidR="00DF3098" w:rsidRPr="003148AA" w:rsidRDefault="00DF3098" w:rsidP="00DF3098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</w:pP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 xml:space="preserve">Acta de examen profesional. </w:t>
      </w:r>
    </w:p>
    <w:p w:rsidR="00DF3098" w:rsidRPr="003148AA" w:rsidRDefault="00DF3098" w:rsidP="00DF3098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</w:pP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Título de licenciatura (si no está titulado puede proporcionar una carta compromiso con la fecha de titulación).</w:t>
      </w:r>
    </w:p>
    <w:p w:rsidR="00DF3098" w:rsidRPr="003148AA" w:rsidRDefault="00DF3098" w:rsidP="00DF3098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</w:pP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Dos cartas de recomendación de profesores o investigadores</w:t>
      </w:r>
      <w:r w:rsidR="00D34823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 xml:space="preserve"> de la escuela donde realizó sus estudios profesionales</w:t>
      </w: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.</w:t>
      </w:r>
    </w:p>
    <w:p w:rsidR="00DF3098" w:rsidRPr="003148AA" w:rsidRDefault="00DF3098" w:rsidP="00DF3098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</w:pP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Acta de nacimiento.</w:t>
      </w:r>
    </w:p>
    <w:p w:rsidR="00E135DA" w:rsidRPr="00E135DA" w:rsidRDefault="00DF3098" w:rsidP="00E135D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</w:pPr>
      <w:r w:rsidRPr="003148A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Clave única de Registro de Población (CURP).</w:t>
      </w:r>
    </w:p>
    <w:p w:rsidR="00E135DA" w:rsidRPr="00E135DA" w:rsidRDefault="00E135DA" w:rsidP="00E135DA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</w:pPr>
      <w:r w:rsidRPr="00E135D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En caso de ser aceptado al Programa de Maestría, deberán entregar los documentos en original y dos copias, además:</w:t>
      </w:r>
    </w:p>
    <w:p w:rsidR="00E135DA" w:rsidRPr="00E135DA" w:rsidRDefault="00E135DA" w:rsidP="00E135DA">
      <w:pPr>
        <w:numPr>
          <w:ilvl w:val="0"/>
          <w:numId w:val="14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</w:pPr>
      <w:r w:rsidRPr="00E135D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2 fotografías tamaño infantil</w:t>
      </w:r>
    </w:p>
    <w:p w:rsidR="00E135DA" w:rsidRPr="00E135DA" w:rsidRDefault="00E135DA" w:rsidP="00E135DA">
      <w:pPr>
        <w:numPr>
          <w:ilvl w:val="0"/>
          <w:numId w:val="14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</w:pPr>
      <w:r w:rsidRPr="00E135DA">
        <w:rPr>
          <w:rFonts w:ascii="inherit" w:eastAsia="Times New Roman" w:hAnsi="inherit" w:cs="Open Sans"/>
          <w:bCs/>
          <w:color w:val="333333"/>
          <w:sz w:val="24"/>
          <w:szCs w:val="24"/>
          <w:bdr w:val="none" w:sz="0" w:space="0" w:color="auto" w:frame="1"/>
          <w:lang w:eastAsia="es-MX"/>
        </w:rPr>
        <w:t>1 copia de identificación oficial con fotografía.</w:t>
      </w:r>
    </w:p>
    <w:p w:rsidR="00DF3098" w:rsidRPr="003148AA" w:rsidRDefault="00DF3098" w:rsidP="00C93837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b/>
          <w:bCs/>
          <w:color w:val="333333"/>
          <w:sz w:val="24"/>
          <w:szCs w:val="24"/>
          <w:bdr w:val="none" w:sz="0" w:space="0" w:color="auto" w:frame="1"/>
          <w:lang w:eastAsia="es-MX"/>
        </w:rPr>
      </w:pPr>
    </w:p>
    <w:p w:rsidR="00DF3098" w:rsidRPr="003148AA" w:rsidRDefault="00DF3098" w:rsidP="00DF3098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0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148AA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Acreditar los cursos propedéuticos con una calificación mínima de 7.0 y se deberá obtener un promedio final de 8.0 o superior. En caso de que se obtenga una calificación inferior a 7.0, se procederá automáticamente a la baja del estudiante.</w:t>
      </w:r>
    </w:p>
    <w:p w:rsidR="00DF3098" w:rsidRPr="003148AA" w:rsidRDefault="00DF3098" w:rsidP="00DF309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DF3098" w:rsidRPr="003148AA" w:rsidRDefault="00DF3098" w:rsidP="00DF309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148AA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Las materias que integran los cursos propedéuticos son:</w:t>
      </w:r>
    </w:p>
    <w:p w:rsidR="00DF3098" w:rsidRPr="003148AA" w:rsidRDefault="00DF3098" w:rsidP="00DF309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bookmarkStart w:id="1" w:name="_Hlk161994842"/>
      <w:r w:rsidRPr="003148AA">
        <w:rPr>
          <w:rFonts w:ascii="inherit" w:eastAsia="Times New Roman" w:hAnsi="inherit" w:cs="Open Sans"/>
          <w:b/>
          <w:bCs/>
          <w:color w:val="444444"/>
          <w:sz w:val="24"/>
          <w:szCs w:val="24"/>
          <w:lang w:eastAsia="es-MX"/>
        </w:rPr>
        <w:t>QUIMICA ORGÁNICA</w:t>
      </w:r>
    </w:p>
    <w:p w:rsidR="00DF3098" w:rsidRPr="003148AA" w:rsidRDefault="00DF3098" w:rsidP="00DF309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148AA">
        <w:rPr>
          <w:rFonts w:ascii="inherit" w:eastAsia="Times New Roman" w:hAnsi="inherit" w:cs="Open Sans"/>
          <w:b/>
          <w:bCs/>
          <w:color w:val="444444"/>
          <w:sz w:val="24"/>
          <w:szCs w:val="24"/>
          <w:lang w:eastAsia="es-MX"/>
        </w:rPr>
        <w:t>BIOQUIMICA</w:t>
      </w:r>
    </w:p>
    <w:p w:rsidR="00DF3098" w:rsidRPr="003148AA" w:rsidRDefault="00DF3098" w:rsidP="00DF309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148AA">
        <w:rPr>
          <w:rFonts w:ascii="inherit" w:eastAsia="Times New Roman" w:hAnsi="inherit" w:cs="Open Sans"/>
          <w:b/>
          <w:bCs/>
          <w:color w:val="444444"/>
          <w:sz w:val="24"/>
          <w:szCs w:val="24"/>
          <w:lang w:eastAsia="es-MX"/>
        </w:rPr>
        <w:t>ESTADÍSTICA</w:t>
      </w:r>
      <w:r w:rsidRPr="003148AA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 </w:t>
      </w:r>
    </w:p>
    <w:p w:rsidR="00DF3098" w:rsidRPr="003148AA" w:rsidRDefault="00DF3098" w:rsidP="00DF309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148AA">
        <w:rPr>
          <w:rFonts w:ascii="inherit" w:eastAsia="Times New Roman" w:hAnsi="inherit" w:cs="Open Sans"/>
          <w:b/>
          <w:bCs/>
          <w:color w:val="444444"/>
          <w:sz w:val="24"/>
          <w:szCs w:val="24"/>
          <w:lang w:eastAsia="es-MX"/>
        </w:rPr>
        <w:t>BIOLOGÍA CELULAR</w:t>
      </w:r>
      <w:r w:rsidRPr="003148AA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 xml:space="preserve">: </w:t>
      </w:r>
    </w:p>
    <w:p w:rsidR="00DF3098" w:rsidRPr="003148AA" w:rsidRDefault="00DF3098" w:rsidP="00DF309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148AA">
        <w:rPr>
          <w:rFonts w:ascii="inherit" w:eastAsia="Times New Roman" w:hAnsi="inherit" w:cs="Open Sans"/>
          <w:b/>
          <w:bCs/>
          <w:color w:val="444444"/>
          <w:sz w:val="24"/>
          <w:szCs w:val="24"/>
          <w:lang w:eastAsia="es-MX"/>
        </w:rPr>
        <w:t>FISIOLOGÍA</w:t>
      </w:r>
      <w:bookmarkEnd w:id="1"/>
    </w:p>
    <w:p w:rsidR="00DF3098" w:rsidRPr="003148AA" w:rsidRDefault="00DF3098" w:rsidP="00DF309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148AA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 xml:space="preserve"> </w:t>
      </w:r>
    </w:p>
    <w:p w:rsidR="00DF3098" w:rsidRPr="003148AA" w:rsidRDefault="00DF3098" w:rsidP="00DF309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148AA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 xml:space="preserve">El objetivo de estos cursos es el de uniformizar conocimientos básicos a nivel licenciatura indispensables para poder iniciar un programa de estudios de Maestría en Farmacología. </w:t>
      </w:r>
    </w:p>
    <w:p w:rsidR="00DF3098" w:rsidRDefault="00DF3098" w:rsidP="00DF309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148AA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 xml:space="preserve">Los cursos </w:t>
      </w:r>
      <w:r w:rsidR="00911DF0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 xml:space="preserve">se toman de manera presencial, </w:t>
      </w:r>
      <w:r w:rsidRPr="003148AA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son gratuitos y tienen una duración de junio a noviembre.</w:t>
      </w:r>
    </w:p>
    <w:p w:rsidR="00143948" w:rsidRPr="00143948" w:rsidRDefault="00143948" w:rsidP="0014394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b/>
          <w:bCs/>
          <w:color w:val="444444"/>
          <w:sz w:val="24"/>
          <w:szCs w:val="24"/>
          <w:lang w:eastAsia="es-MX"/>
        </w:rPr>
      </w:pPr>
      <w:r w:rsidRPr="00143948">
        <w:rPr>
          <w:rFonts w:ascii="inherit" w:eastAsia="Times New Roman" w:hAnsi="inherit" w:cs="Open Sans"/>
          <w:b/>
          <w:bCs/>
          <w:color w:val="444444"/>
          <w:sz w:val="24"/>
          <w:szCs w:val="24"/>
          <w:lang w:eastAsia="es-MX"/>
        </w:rPr>
        <w:lastRenderedPageBreak/>
        <w:t>Plan de Estudios</w:t>
      </w:r>
    </w:p>
    <w:p w:rsidR="00450A46" w:rsidRDefault="00143948" w:rsidP="00511834">
      <w:pPr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14394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Duración: 4 semestres</w:t>
      </w:r>
    </w:p>
    <w:p w:rsidR="00511834" w:rsidRPr="00511834" w:rsidRDefault="00143948" w:rsidP="00511834">
      <w:pPr>
        <w:rPr>
          <w:rFonts w:ascii="inherit" w:hAnsi="inherit" w:cs="Open Sans"/>
          <w:color w:val="444444"/>
        </w:rPr>
      </w:pPr>
      <w:r w:rsidRPr="0014394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br/>
      </w:r>
      <w:r w:rsidR="00511834" w:rsidRPr="00511834">
        <w:rPr>
          <w:rFonts w:ascii="inherit" w:hAnsi="inherit" w:cs="Open Sans"/>
          <w:b/>
          <w:bCs/>
          <w:color w:val="444444"/>
        </w:rPr>
        <w:t>ORGANIZACIÓN Y MAPA CURRICULAR</w:t>
      </w:r>
    </w:p>
    <w:p w:rsidR="00511834" w:rsidRDefault="00511834" w:rsidP="00450A46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511834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El programa curricular de la Maestría en Ciencias en la Especialidad de Farmacología está constituido de 8 módulos de cursos teóricos</w:t>
      </w:r>
      <w:r w:rsidR="00450A46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 xml:space="preserve"> </w:t>
      </w:r>
      <w:r w:rsidR="00450A46" w:rsidRPr="00511834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(</w:t>
      </w:r>
      <w:hyperlink r:id="rId7" w:tgtFrame="_blank" w:history="1">
        <w:r w:rsidR="00450A46" w:rsidRPr="00511834">
          <w:rPr>
            <w:rStyle w:val="Hipervnculo"/>
            <w:rFonts w:ascii="inherit" w:eastAsia="Times New Roman" w:hAnsi="inherit" w:cs="Open Sans"/>
            <w:sz w:val="24"/>
            <w:szCs w:val="24"/>
            <w:lang w:eastAsia="es-MX"/>
          </w:rPr>
          <w:t>Temarios</w:t>
        </w:r>
      </w:hyperlink>
      <w:r w:rsidR="00450A46" w:rsidRPr="00511834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)</w:t>
      </w:r>
      <w:r w:rsidRPr="00511834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, una lista de cursos teórico-prácticos optativos, Análisis y presentación de resultados y el trabajo de tesis</w:t>
      </w:r>
      <w:r w:rsidR="00450A46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.</w:t>
      </w:r>
    </w:p>
    <w:p w:rsidR="00450A46" w:rsidRPr="00511834" w:rsidRDefault="00450A46" w:rsidP="00450A46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tbl>
      <w:tblPr>
        <w:tblStyle w:val="Tablaconcuadrcula1"/>
        <w:tblW w:w="902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0"/>
        <w:gridCol w:w="2269"/>
        <w:gridCol w:w="3522"/>
        <w:gridCol w:w="1028"/>
        <w:gridCol w:w="1072"/>
      </w:tblGrid>
      <w:tr w:rsidR="00450A46" w:rsidRPr="00450A46" w:rsidTr="00450A46">
        <w:trPr>
          <w:trHeight w:val="325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  <w:t>Semestre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  <w:t>Módulo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  <w:t>Asignatura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  <w:t>Créditos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  <w:t>No. de horas</w:t>
            </w:r>
          </w:p>
        </w:tc>
      </w:tr>
      <w:tr w:rsidR="00450A46" w:rsidRPr="00450A46" w:rsidTr="00450A46">
        <w:trPr>
          <w:trHeight w:val="339"/>
        </w:trPr>
        <w:tc>
          <w:tcPr>
            <w:tcW w:w="1130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Farmacología General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Conceptos básicos de acción de fármacos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18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20</w:t>
            </w:r>
          </w:p>
        </w:tc>
      </w:tr>
      <w:tr w:rsidR="00450A46" w:rsidRPr="00450A46" w:rsidTr="00450A46">
        <w:trPr>
          <w:trHeight w:val="176"/>
        </w:trPr>
        <w:tc>
          <w:tcPr>
            <w:tcW w:w="1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Farmacocinética</w:t>
            </w:r>
          </w:p>
        </w:tc>
        <w:tc>
          <w:tcPr>
            <w:tcW w:w="10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36</w:t>
            </w:r>
          </w:p>
        </w:tc>
      </w:tr>
      <w:tr w:rsidR="00450A46" w:rsidRPr="00450A46" w:rsidTr="00450A46">
        <w:trPr>
          <w:trHeight w:val="163"/>
        </w:trPr>
        <w:tc>
          <w:tcPr>
            <w:tcW w:w="113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bookmarkStart w:id="2" w:name="OLE_LINK3"/>
            <w:bookmarkStart w:id="3" w:name="OLE_LINK4"/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Farmacología Molecular y Celular I</w:t>
            </w:r>
            <w:bookmarkEnd w:id="2"/>
            <w:bookmarkEnd w:id="3"/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Calcio, contractilidad y secreción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18</w:t>
            </w: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65</w:t>
            </w:r>
          </w:p>
        </w:tc>
      </w:tr>
      <w:tr w:rsidR="00450A46" w:rsidRPr="00450A46" w:rsidTr="00450A46">
        <w:trPr>
          <w:trHeight w:val="176"/>
        </w:trPr>
        <w:tc>
          <w:tcPr>
            <w:tcW w:w="1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Biología Molecular</w:t>
            </w:r>
          </w:p>
        </w:tc>
        <w:tc>
          <w:tcPr>
            <w:tcW w:w="10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38</w:t>
            </w:r>
          </w:p>
        </w:tc>
      </w:tr>
      <w:tr w:rsidR="00450A46" w:rsidRPr="00450A46" w:rsidTr="00450A46">
        <w:trPr>
          <w:trHeight w:val="176"/>
        </w:trPr>
        <w:tc>
          <w:tcPr>
            <w:tcW w:w="1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Farmacología de canales iónicos</w:t>
            </w:r>
          </w:p>
        </w:tc>
        <w:tc>
          <w:tcPr>
            <w:tcW w:w="10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80</w:t>
            </w:r>
          </w:p>
        </w:tc>
      </w:tr>
      <w:tr w:rsidR="00450A46" w:rsidRPr="00450A46" w:rsidTr="00450A46">
        <w:trPr>
          <w:trHeight w:val="163"/>
        </w:trPr>
        <w:tc>
          <w:tcPr>
            <w:tcW w:w="113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Farmacología Molecular y Celular II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Obesidad y control neural del apetito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18</w:t>
            </w: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36</w:t>
            </w:r>
          </w:p>
        </w:tc>
      </w:tr>
      <w:tr w:rsidR="00450A46" w:rsidRPr="00450A46" w:rsidTr="00450A46">
        <w:trPr>
          <w:trHeight w:val="176"/>
        </w:trPr>
        <w:tc>
          <w:tcPr>
            <w:tcW w:w="1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Transducción de señales</w:t>
            </w:r>
          </w:p>
        </w:tc>
        <w:tc>
          <w:tcPr>
            <w:tcW w:w="10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50</w:t>
            </w:r>
          </w:p>
        </w:tc>
      </w:tr>
      <w:tr w:rsidR="00450A46" w:rsidRPr="00450A46" w:rsidTr="00450A46">
        <w:trPr>
          <w:trHeight w:val="176"/>
        </w:trPr>
        <w:tc>
          <w:tcPr>
            <w:tcW w:w="1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proofErr w:type="spellStart"/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Oncofarmacología</w:t>
            </w:r>
            <w:proofErr w:type="spellEnd"/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 xml:space="preserve"> molecular</w:t>
            </w:r>
          </w:p>
        </w:tc>
        <w:tc>
          <w:tcPr>
            <w:tcW w:w="10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44</w:t>
            </w:r>
          </w:p>
        </w:tc>
      </w:tr>
      <w:tr w:rsidR="004E6D60" w:rsidRPr="00450A46" w:rsidTr="004E6D60">
        <w:trPr>
          <w:trHeight w:hRule="exact" w:val="113"/>
        </w:trPr>
        <w:tc>
          <w:tcPr>
            <w:tcW w:w="113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bookmarkStart w:id="4" w:name="OLE_LINK5"/>
            <w:bookmarkStart w:id="5" w:name="OLE_LINK6"/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Farmacología de Sistemas I</w:t>
            </w:r>
            <w:bookmarkEnd w:id="4"/>
            <w:bookmarkEnd w:id="5"/>
          </w:p>
        </w:tc>
        <w:tc>
          <w:tcPr>
            <w:tcW w:w="3522" w:type="dxa"/>
            <w:vMerge w:val="restart"/>
            <w:tcBorders>
              <w:top w:val="single" w:sz="8" w:space="0" w:color="auto"/>
            </w:tcBorders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color w:val="00B050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Farmacología renal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18</w:t>
            </w: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color w:val="00B050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color w:val="00B050"/>
                <w:sz w:val="20"/>
                <w:szCs w:val="20"/>
                <w:lang w:val="es-ES_tradnl" w:eastAsia="es-MX" w:bidi="es-MX"/>
              </w:rPr>
              <w:t>27</w:t>
            </w:r>
          </w:p>
        </w:tc>
      </w:tr>
      <w:tr w:rsidR="004E6D60" w:rsidRPr="00450A46" w:rsidTr="004E6D60">
        <w:trPr>
          <w:trHeight w:val="88"/>
        </w:trPr>
        <w:tc>
          <w:tcPr>
            <w:tcW w:w="1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vMerge/>
            <w:tcBorders>
              <w:bottom w:val="single" w:sz="8" w:space="0" w:color="auto"/>
            </w:tcBorders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30</w:t>
            </w:r>
          </w:p>
        </w:tc>
      </w:tr>
      <w:tr w:rsidR="00450A46" w:rsidRPr="00450A46" w:rsidTr="004E6D60">
        <w:trPr>
          <w:trHeight w:val="275"/>
        </w:trPr>
        <w:tc>
          <w:tcPr>
            <w:tcW w:w="1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Farmacología hepática y del aparato digestivo</w:t>
            </w:r>
          </w:p>
        </w:tc>
        <w:tc>
          <w:tcPr>
            <w:tcW w:w="10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40</w:t>
            </w:r>
          </w:p>
        </w:tc>
      </w:tr>
      <w:tr w:rsidR="00450A46" w:rsidRPr="00450A46" w:rsidTr="00450A46">
        <w:trPr>
          <w:trHeight w:val="163"/>
        </w:trPr>
        <w:tc>
          <w:tcPr>
            <w:tcW w:w="113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Farmacología de Sistemas II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 xml:space="preserve">Neurofarmacología 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12</w:t>
            </w: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80</w:t>
            </w:r>
          </w:p>
        </w:tc>
      </w:tr>
      <w:tr w:rsidR="00450A46" w:rsidRPr="00450A46" w:rsidTr="00450A46">
        <w:trPr>
          <w:trHeight w:val="353"/>
        </w:trPr>
        <w:tc>
          <w:tcPr>
            <w:tcW w:w="1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proofErr w:type="spellStart"/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Neuroplasticidad</w:t>
            </w:r>
            <w:proofErr w:type="spellEnd"/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 xml:space="preserve"> y neurodegeneración</w:t>
            </w:r>
          </w:p>
        </w:tc>
        <w:tc>
          <w:tcPr>
            <w:tcW w:w="10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46</w:t>
            </w:r>
          </w:p>
        </w:tc>
      </w:tr>
      <w:tr w:rsidR="00450A46" w:rsidRPr="00450A46" w:rsidTr="00450A46">
        <w:trPr>
          <w:trHeight w:val="353"/>
        </w:trPr>
        <w:tc>
          <w:tcPr>
            <w:tcW w:w="1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80160E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Neurofarmacología del estrés</w:t>
            </w:r>
          </w:p>
        </w:tc>
        <w:tc>
          <w:tcPr>
            <w:tcW w:w="10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127BD8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127BD8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30</w:t>
            </w:r>
          </w:p>
        </w:tc>
      </w:tr>
      <w:tr w:rsidR="00450A46" w:rsidRPr="00450A46" w:rsidTr="00450A46">
        <w:trPr>
          <w:trHeight w:val="176"/>
        </w:trPr>
        <w:tc>
          <w:tcPr>
            <w:tcW w:w="1130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tcBorders>
              <w:top w:val="single" w:sz="8" w:space="0" w:color="auto"/>
              <w:bottom w:val="single" w:sz="12" w:space="0" w:color="auto"/>
            </w:tcBorders>
          </w:tcPr>
          <w:p w:rsidR="00450A46" w:rsidRPr="004E6D60" w:rsidRDefault="00127BD8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color w:val="000000" w:themeColor="text1"/>
                <w:sz w:val="20"/>
                <w:szCs w:val="20"/>
                <w:lang w:val="es-ES_tradnl" w:eastAsia="es-MX" w:bidi="es-MX"/>
              </w:rPr>
            </w:pPr>
            <w:bookmarkStart w:id="6" w:name="_Hlk192752380"/>
            <w:r w:rsidRPr="004E6D60">
              <w:rPr>
                <w:rFonts w:ascii="Arial" w:eastAsia="Arial Narrow" w:hAnsi="Arial" w:cs="Arial"/>
                <w:color w:val="000000" w:themeColor="text1"/>
                <w:sz w:val="20"/>
                <w:szCs w:val="20"/>
                <w:lang w:val="es-ES_tradnl" w:eastAsia="es-MX" w:bidi="es-MX"/>
              </w:rPr>
              <w:t>Metabolismo del sistema nervioso y células gliales</w:t>
            </w:r>
            <w:bookmarkEnd w:id="6"/>
          </w:p>
        </w:tc>
        <w:tc>
          <w:tcPr>
            <w:tcW w:w="1028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12" w:space="0" w:color="auto"/>
            </w:tcBorders>
          </w:tcPr>
          <w:p w:rsidR="00450A46" w:rsidRPr="00450A46" w:rsidRDefault="00127BD8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127BD8">
              <w:rPr>
                <w:rFonts w:ascii="Arial" w:eastAsia="Arial Narrow" w:hAnsi="Arial" w:cs="Arial"/>
                <w:color w:val="00B050"/>
                <w:sz w:val="20"/>
                <w:szCs w:val="20"/>
                <w:lang w:val="es-ES_tradnl" w:eastAsia="es-MX" w:bidi="es-MX"/>
              </w:rPr>
              <w:t>*</w:t>
            </w:r>
          </w:p>
        </w:tc>
      </w:tr>
      <w:tr w:rsidR="00450A46" w:rsidRPr="00450A46" w:rsidTr="00450A46">
        <w:trPr>
          <w:trHeight w:val="325"/>
        </w:trPr>
        <w:tc>
          <w:tcPr>
            <w:tcW w:w="1130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Farmacología Clínica e Integrativa I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8" w:space="0" w:color="auto"/>
            </w:tcBorders>
          </w:tcPr>
          <w:p w:rsidR="00450A46" w:rsidRPr="00450A46" w:rsidRDefault="00127BD8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E6D60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Selectos de Química Medicinal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15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54</w:t>
            </w:r>
          </w:p>
        </w:tc>
      </w:tr>
      <w:tr w:rsidR="00450A46" w:rsidRPr="00450A46" w:rsidTr="00450A46">
        <w:trPr>
          <w:trHeight w:val="353"/>
        </w:trPr>
        <w:tc>
          <w:tcPr>
            <w:tcW w:w="1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Farmacología del dolor y la inflamación</w:t>
            </w:r>
          </w:p>
        </w:tc>
        <w:tc>
          <w:tcPr>
            <w:tcW w:w="10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0A46" w:rsidRPr="00450A46" w:rsidRDefault="00450A46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36</w:t>
            </w:r>
          </w:p>
        </w:tc>
      </w:tr>
      <w:tr w:rsidR="004E6D60" w:rsidRPr="00450A46" w:rsidTr="00450A46">
        <w:trPr>
          <w:trHeight w:val="163"/>
        </w:trPr>
        <w:tc>
          <w:tcPr>
            <w:tcW w:w="113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Farmacología Clínica e Integrativa II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Farmacogenóm</w:t>
            </w:r>
            <w:bookmarkStart w:id="7" w:name="_GoBack"/>
            <w:bookmarkEnd w:id="7"/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ica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12</w:t>
            </w: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24</w:t>
            </w:r>
          </w:p>
        </w:tc>
      </w:tr>
      <w:tr w:rsidR="004E6D60" w:rsidRPr="00450A46" w:rsidTr="00450A46">
        <w:trPr>
          <w:trHeight w:val="71"/>
        </w:trPr>
        <w:tc>
          <w:tcPr>
            <w:tcW w:w="1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tcBorders>
              <w:top w:val="single" w:sz="8" w:space="0" w:color="auto"/>
              <w:bottom w:val="single" w:sz="8" w:space="0" w:color="auto"/>
            </w:tcBorders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 Narrow" w:eastAsia="Arial Narrow" w:hAnsi="Arial Narrow" w:cs="Arial Narrow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Aspectos terapéuticos de la farmacología</w:t>
            </w:r>
          </w:p>
        </w:tc>
        <w:tc>
          <w:tcPr>
            <w:tcW w:w="10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31</w:t>
            </w:r>
          </w:p>
        </w:tc>
      </w:tr>
      <w:tr w:rsidR="004E6D60" w:rsidRPr="00450A46" w:rsidTr="0056498A">
        <w:trPr>
          <w:trHeight w:val="176"/>
        </w:trPr>
        <w:tc>
          <w:tcPr>
            <w:tcW w:w="1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 Narrow" w:eastAsia="Arial Narrow" w:hAnsi="Arial Narrow" w:cs="Arial Narrow"/>
                <w:sz w:val="20"/>
                <w:szCs w:val="20"/>
                <w:lang w:val="es-ES_tradnl" w:eastAsia="es-MX" w:bidi="es-MX"/>
              </w:rPr>
            </w:pPr>
            <w:bookmarkStart w:id="8" w:name="OLE_LINK13"/>
            <w:bookmarkStart w:id="9" w:name="OLE_LINK14"/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Discusiones bibliográficas I</w:t>
            </w:r>
            <w:bookmarkEnd w:id="8"/>
            <w:bookmarkEnd w:id="9"/>
          </w:p>
        </w:tc>
        <w:tc>
          <w:tcPr>
            <w:tcW w:w="10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36</w:t>
            </w:r>
          </w:p>
        </w:tc>
      </w:tr>
      <w:tr w:rsidR="004E6D60" w:rsidRPr="00450A46" w:rsidTr="0056498A">
        <w:trPr>
          <w:trHeight w:val="502"/>
        </w:trPr>
        <w:tc>
          <w:tcPr>
            <w:tcW w:w="11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2</w:t>
            </w:r>
          </w:p>
        </w:tc>
        <w:tc>
          <w:tcPr>
            <w:tcW w:w="226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ind w:left="691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Discusiones Bibliográficas I</w:t>
            </w:r>
          </w:p>
        </w:tc>
        <w:tc>
          <w:tcPr>
            <w:tcW w:w="3522" w:type="dxa"/>
            <w:tcBorders>
              <w:top w:val="single" w:sz="12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Trabajo de tesis I</w:t>
            </w:r>
          </w:p>
        </w:tc>
        <w:tc>
          <w:tcPr>
            <w:tcW w:w="102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6</w:t>
            </w:r>
          </w:p>
        </w:tc>
        <w:tc>
          <w:tcPr>
            <w:tcW w:w="10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15</w:t>
            </w:r>
          </w:p>
        </w:tc>
      </w:tr>
      <w:tr w:rsidR="004E6D60" w:rsidRPr="00450A46" w:rsidTr="0056498A">
        <w:trPr>
          <w:trHeight w:val="163"/>
        </w:trPr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3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bookmarkStart w:id="10" w:name="OLE_LINK9"/>
            <w:bookmarkStart w:id="11" w:name="OLE_LINK10"/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Análisis y Presentación de Resultados</w:t>
            </w:r>
            <w:bookmarkEnd w:id="10"/>
            <w:bookmarkEnd w:id="11"/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40</w:t>
            </w:r>
          </w:p>
        </w:tc>
        <w:tc>
          <w:tcPr>
            <w:tcW w:w="1072" w:type="dxa"/>
            <w:tcBorders>
              <w:top w:val="single" w:sz="12" w:space="0" w:color="auto"/>
            </w:tcBorders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Tiempo Completo</w:t>
            </w:r>
          </w:p>
        </w:tc>
      </w:tr>
      <w:tr w:rsidR="004E6D60" w:rsidRPr="00450A46" w:rsidTr="0056498A">
        <w:trPr>
          <w:trHeight w:val="325"/>
        </w:trPr>
        <w:tc>
          <w:tcPr>
            <w:tcW w:w="1130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3</w:t>
            </w:r>
          </w:p>
        </w:tc>
        <w:tc>
          <w:tcPr>
            <w:tcW w:w="2269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Trabajo de tesis II</w:t>
            </w:r>
          </w:p>
        </w:tc>
        <w:tc>
          <w:tcPr>
            <w:tcW w:w="1028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12</w:t>
            </w:r>
          </w:p>
        </w:tc>
        <w:tc>
          <w:tcPr>
            <w:tcW w:w="1072" w:type="dxa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Tiempo Completo</w:t>
            </w:r>
          </w:p>
        </w:tc>
      </w:tr>
      <w:tr w:rsidR="004E6D60" w:rsidRPr="00450A46" w:rsidTr="0056498A">
        <w:trPr>
          <w:trHeight w:val="163"/>
        </w:trPr>
        <w:tc>
          <w:tcPr>
            <w:tcW w:w="1130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4</w:t>
            </w:r>
          </w:p>
        </w:tc>
        <w:tc>
          <w:tcPr>
            <w:tcW w:w="2269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Análisis y Presentación de Resultados II</w:t>
            </w:r>
          </w:p>
        </w:tc>
        <w:tc>
          <w:tcPr>
            <w:tcW w:w="1028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40</w:t>
            </w:r>
          </w:p>
        </w:tc>
        <w:tc>
          <w:tcPr>
            <w:tcW w:w="1072" w:type="dxa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Tiempo Completo</w:t>
            </w:r>
          </w:p>
        </w:tc>
      </w:tr>
      <w:tr w:rsidR="004E6D60" w:rsidRPr="00450A46" w:rsidTr="00450A46">
        <w:trPr>
          <w:trHeight w:val="325"/>
        </w:trPr>
        <w:tc>
          <w:tcPr>
            <w:tcW w:w="1130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4</w:t>
            </w:r>
          </w:p>
        </w:tc>
        <w:tc>
          <w:tcPr>
            <w:tcW w:w="2269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Discusiones Bibliográficas II</w:t>
            </w:r>
          </w:p>
        </w:tc>
        <w:tc>
          <w:tcPr>
            <w:tcW w:w="1028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12</w:t>
            </w:r>
          </w:p>
        </w:tc>
        <w:tc>
          <w:tcPr>
            <w:tcW w:w="1072" w:type="dxa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Tiempo Completo</w:t>
            </w:r>
          </w:p>
        </w:tc>
      </w:tr>
      <w:tr w:rsidR="004E6D60" w:rsidRPr="00450A46" w:rsidTr="00450A46">
        <w:trPr>
          <w:trHeight w:val="163"/>
        </w:trPr>
        <w:tc>
          <w:tcPr>
            <w:tcW w:w="1130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4</w:t>
            </w:r>
          </w:p>
        </w:tc>
        <w:tc>
          <w:tcPr>
            <w:tcW w:w="2269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proofErr w:type="gramStart"/>
            <w:r w:rsidRPr="00450A46"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  <w:t>Total</w:t>
            </w:r>
            <w:proofErr w:type="gramEnd"/>
            <w:r w:rsidRPr="00450A46"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  <w:t xml:space="preserve"> de créditos del Programa</w:t>
            </w:r>
          </w:p>
        </w:tc>
        <w:tc>
          <w:tcPr>
            <w:tcW w:w="1028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6</w:t>
            </w:r>
          </w:p>
        </w:tc>
        <w:tc>
          <w:tcPr>
            <w:tcW w:w="1072" w:type="dxa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  <w:t>Tiempo Completo</w:t>
            </w:r>
          </w:p>
        </w:tc>
      </w:tr>
      <w:tr w:rsidR="004E6D60" w:rsidRPr="00450A46" w:rsidTr="00450A46">
        <w:trPr>
          <w:trHeight w:val="163"/>
        </w:trPr>
        <w:tc>
          <w:tcPr>
            <w:tcW w:w="1130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2269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3522" w:type="dxa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</w:pPr>
          </w:p>
        </w:tc>
        <w:tc>
          <w:tcPr>
            <w:tcW w:w="1028" w:type="dxa"/>
            <w:vAlign w:val="center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</w:pPr>
            <w:r w:rsidRPr="00450A46">
              <w:rPr>
                <w:rFonts w:ascii="Arial" w:eastAsia="Arial Narrow" w:hAnsi="Arial" w:cs="Arial"/>
                <w:b/>
                <w:bCs/>
                <w:sz w:val="20"/>
                <w:szCs w:val="20"/>
                <w:lang w:val="es-ES_tradnl" w:eastAsia="es-MX" w:bidi="es-MX"/>
              </w:rPr>
              <w:t>227</w:t>
            </w:r>
          </w:p>
        </w:tc>
        <w:tc>
          <w:tcPr>
            <w:tcW w:w="1072" w:type="dxa"/>
          </w:tcPr>
          <w:p w:rsidR="004E6D60" w:rsidRPr="00450A46" w:rsidRDefault="004E6D60" w:rsidP="00450A46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0"/>
                <w:szCs w:val="20"/>
                <w:lang w:val="es-ES_tradnl" w:eastAsia="es-MX" w:bidi="es-MX"/>
              </w:rPr>
            </w:pPr>
          </w:p>
        </w:tc>
      </w:tr>
    </w:tbl>
    <w:p w:rsidR="00871BF3" w:rsidRDefault="00871BF3" w:rsidP="00450A46">
      <w:pPr>
        <w:rPr>
          <w:b/>
          <w:color w:val="0070C0"/>
          <w:sz w:val="28"/>
          <w:szCs w:val="28"/>
          <w:lang w:val="es-ES"/>
        </w:rPr>
      </w:pPr>
    </w:p>
    <w:p w:rsidR="00143948" w:rsidRPr="003619C8" w:rsidRDefault="000E44FD" w:rsidP="00450A46">
      <w:pPr>
        <w:rPr>
          <w:b/>
          <w:color w:val="0070C0"/>
          <w:sz w:val="28"/>
          <w:szCs w:val="28"/>
          <w:lang w:val="es-ES"/>
        </w:rPr>
      </w:pPr>
      <w:r>
        <w:rPr>
          <w:b/>
          <w:color w:val="0070C0"/>
          <w:sz w:val="28"/>
          <w:szCs w:val="28"/>
          <w:lang w:val="es-ES"/>
        </w:rPr>
        <w:t>L</w:t>
      </w:r>
      <w:r w:rsidR="00143948">
        <w:rPr>
          <w:b/>
          <w:color w:val="0070C0"/>
          <w:sz w:val="28"/>
          <w:szCs w:val="28"/>
          <w:lang w:val="es-ES"/>
        </w:rPr>
        <w:t>í</w:t>
      </w:r>
      <w:r>
        <w:rPr>
          <w:b/>
          <w:color w:val="0070C0"/>
          <w:sz w:val="28"/>
          <w:szCs w:val="28"/>
          <w:lang w:val="es-ES"/>
        </w:rPr>
        <w:t>neas de investigación</w:t>
      </w:r>
    </w:p>
    <w:p w:rsidR="003619C8" w:rsidRDefault="003619C8" w:rsidP="003619C8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proofErr w:type="spellStart"/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Oncofarmacología</w:t>
      </w:r>
      <w:proofErr w:type="spellEnd"/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 xml:space="preserve"> Molecular</w:t>
      </w:r>
      <w:r w:rsidR="00525322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.</w:t>
      </w:r>
    </w:p>
    <w:p w:rsidR="00525322" w:rsidRDefault="00954C0E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hyperlink r:id="rId8" w:history="1">
        <w:r w:rsidR="00A8462F" w:rsidRPr="00552F61">
          <w:rPr>
            <w:rStyle w:val="Hipervnculo"/>
            <w:rFonts w:ascii="inherit" w:eastAsia="Times New Roman" w:hAnsi="inherit" w:cs="Open Sans"/>
            <w:sz w:val="24"/>
            <w:szCs w:val="24"/>
            <w:lang w:eastAsia="es-MX"/>
          </w:rPr>
          <w:t>https://farmacologia.cinvestav.mx/Investigadores/Dr-Francisco-J-Camacho</w:t>
        </w:r>
      </w:hyperlink>
    </w:p>
    <w:p w:rsidR="00A8462F" w:rsidRPr="003619C8" w:rsidRDefault="00A8462F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3619C8" w:rsidRDefault="003619C8" w:rsidP="003619C8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Farmacología de Canales Iónicos</w:t>
      </w:r>
    </w:p>
    <w:p w:rsidR="00525322" w:rsidRDefault="00954C0E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hyperlink r:id="rId9" w:history="1">
        <w:r w:rsidR="00A8462F" w:rsidRPr="00552F61">
          <w:rPr>
            <w:rStyle w:val="Hipervnculo"/>
            <w:rFonts w:ascii="inherit" w:eastAsia="Times New Roman" w:hAnsi="inherit" w:cs="Open Sans"/>
            <w:sz w:val="24"/>
            <w:szCs w:val="24"/>
            <w:lang w:eastAsia="es-MX"/>
          </w:rPr>
          <w:t>https://farmacologia.cinvestav.mx/Investigadores/Dr-Jorge-Alberto-Sanchez</w:t>
        </w:r>
      </w:hyperlink>
    </w:p>
    <w:p w:rsidR="00A8462F" w:rsidRPr="003619C8" w:rsidRDefault="00A8462F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3619C8" w:rsidRDefault="003619C8" w:rsidP="003619C8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Transducción de Señales</w:t>
      </w:r>
    </w:p>
    <w:p w:rsidR="00525322" w:rsidRDefault="00954C0E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hyperlink r:id="rId10" w:history="1">
        <w:r w:rsidR="00A8462F" w:rsidRPr="00552F61">
          <w:rPr>
            <w:rStyle w:val="Hipervnculo"/>
            <w:rFonts w:ascii="inherit" w:eastAsia="Times New Roman" w:hAnsi="inherit" w:cs="Open Sans"/>
            <w:sz w:val="24"/>
            <w:szCs w:val="24"/>
            <w:lang w:eastAsia="es-MX"/>
          </w:rPr>
          <w:t>https://farmacologia.cinvestav.mx/Investigadores/Dr-Jose-Vazquez-Prado</w:t>
        </w:r>
      </w:hyperlink>
    </w:p>
    <w:p w:rsidR="00A8462F" w:rsidRPr="003619C8" w:rsidRDefault="00A8462F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525322" w:rsidRDefault="003619C8" w:rsidP="00BE33E0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525322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Regulación del Calcio Intracelular en Músculo Esquelético y Cardíaco</w:t>
      </w:r>
    </w:p>
    <w:p w:rsidR="00525322" w:rsidRDefault="00954C0E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hyperlink r:id="rId11" w:history="1">
        <w:r w:rsidR="00A8462F" w:rsidRPr="00552F61">
          <w:rPr>
            <w:rStyle w:val="Hipervnculo"/>
            <w:rFonts w:ascii="inherit" w:eastAsia="Times New Roman" w:hAnsi="inherit" w:cs="Open Sans"/>
            <w:sz w:val="24"/>
            <w:szCs w:val="24"/>
            <w:lang w:eastAsia="es-MX"/>
          </w:rPr>
          <w:t>https://farmacologia.cinvestav.mx/Investigadores/Dr-Maria-del-Carmen-Garcia</w:t>
        </w:r>
      </w:hyperlink>
    </w:p>
    <w:p w:rsidR="00A8462F" w:rsidRDefault="00A8462F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3619C8" w:rsidRDefault="003619C8" w:rsidP="00BE33E0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525322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Neurofarmacología de los Desórdenes Relacionados con el Estrés</w:t>
      </w:r>
    </w:p>
    <w:p w:rsidR="00525322" w:rsidRDefault="00954C0E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hyperlink r:id="rId12" w:history="1">
        <w:r w:rsidR="00A8462F" w:rsidRPr="00552F61">
          <w:rPr>
            <w:rStyle w:val="Hipervnculo"/>
            <w:rFonts w:ascii="inherit" w:eastAsia="Times New Roman" w:hAnsi="inherit" w:cs="Open Sans"/>
            <w:sz w:val="24"/>
            <w:szCs w:val="24"/>
            <w:lang w:eastAsia="es-MX"/>
          </w:rPr>
          <w:t>https://farmacologia.cinvestav.mx/Investigadores/Dr-Jose-Antonio-Terron</w:t>
        </w:r>
      </w:hyperlink>
    </w:p>
    <w:p w:rsidR="00A8462F" w:rsidRPr="00525322" w:rsidRDefault="00A8462F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525322" w:rsidRDefault="003619C8" w:rsidP="00525322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Farmacología Hepática</w:t>
      </w:r>
    </w:p>
    <w:p w:rsidR="00525322" w:rsidRDefault="00954C0E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hyperlink r:id="rId13" w:history="1">
        <w:r w:rsidR="00A8462F" w:rsidRPr="00552F61">
          <w:rPr>
            <w:rStyle w:val="Hipervnculo"/>
            <w:rFonts w:ascii="inherit" w:eastAsia="Times New Roman" w:hAnsi="inherit" w:cs="Open Sans"/>
            <w:sz w:val="24"/>
            <w:szCs w:val="24"/>
            <w:lang w:eastAsia="es-MX"/>
          </w:rPr>
          <w:t>https://farmacologia.cinvestav.mx/Investigadores/Dr-Pablo-Muriel</w:t>
        </w:r>
      </w:hyperlink>
    </w:p>
    <w:p w:rsidR="00A8462F" w:rsidRPr="00525322" w:rsidRDefault="00A8462F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3619C8" w:rsidRDefault="003619C8" w:rsidP="003619C8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proofErr w:type="spellStart"/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Neuroplasticidad</w:t>
      </w:r>
      <w:proofErr w:type="spellEnd"/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 xml:space="preserve"> y Neurodegeneración</w:t>
      </w:r>
    </w:p>
    <w:p w:rsidR="00A8462F" w:rsidRDefault="00954C0E" w:rsidP="00A8462F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hyperlink r:id="rId14" w:history="1">
        <w:r w:rsidR="00A8462F" w:rsidRPr="00552F61">
          <w:rPr>
            <w:rStyle w:val="Hipervnculo"/>
            <w:rFonts w:ascii="inherit" w:eastAsia="Times New Roman" w:hAnsi="inherit" w:cs="Open Sans"/>
            <w:sz w:val="24"/>
            <w:szCs w:val="24"/>
            <w:lang w:eastAsia="es-MX"/>
          </w:rPr>
          <w:t>https://farmacologia.cinvestav.mx/Investigadores/Dra-Claudia-P%C3%A9rez-Cruz</w:t>
        </w:r>
      </w:hyperlink>
    </w:p>
    <w:p w:rsidR="00A8462F" w:rsidRPr="00A8462F" w:rsidRDefault="00A8462F" w:rsidP="00A8462F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3619C8" w:rsidRDefault="003619C8" w:rsidP="003619C8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Obesidad y control neuronal del apetito</w:t>
      </w:r>
    </w:p>
    <w:p w:rsidR="00A8462F" w:rsidRDefault="00954C0E" w:rsidP="00A8462F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hyperlink r:id="rId15" w:history="1">
        <w:r w:rsidR="00A8462F" w:rsidRPr="00552F61">
          <w:rPr>
            <w:rStyle w:val="Hipervnculo"/>
            <w:rFonts w:ascii="inherit" w:eastAsia="Times New Roman" w:hAnsi="inherit" w:cs="Open Sans"/>
            <w:sz w:val="24"/>
            <w:szCs w:val="24"/>
            <w:lang w:eastAsia="es-MX"/>
          </w:rPr>
          <w:t>https://farmacologia.cinvestav.mx/Investigadores/Dr-Ranier-Guti%C3%A9rrez</w:t>
        </w:r>
      </w:hyperlink>
    </w:p>
    <w:p w:rsidR="00A8462F" w:rsidRPr="00A8462F" w:rsidRDefault="00A8462F" w:rsidP="00A8462F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3619C8" w:rsidRDefault="003619C8" w:rsidP="003619C8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Farmacogenómica de obesidad en niños y adultos y en diabetes tipo 2. Plantas medicinales en diabetes</w:t>
      </w:r>
    </w:p>
    <w:p w:rsidR="00525322" w:rsidRDefault="00954C0E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hyperlink r:id="rId16" w:history="1">
        <w:r w:rsidR="00A8462F" w:rsidRPr="00552F61">
          <w:rPr>
            <w:rStyle w:val="Hipervnculo"/>
            <w:rFonts w:ascii="inherit" w:eastAsia="Times New Roman" w:hAnsi="inherit" w:cs="Open Sans"/>
            <w:sz w:val="24"/>
            <w:szCs w:val="24"/>
            <w:lang w:eastAsia="es-MX"/>
          </w:rPr>
          <w:t>https://farmacologia.cinvestav.mx/Investigadores/Dr-Carlos-Hoyo</w:t>
        </w:r>
      </w:hyperlink>
    </w:p>
    <w:p w:rsidR="00A8462F" w:rsidRPr="003619C8" w:rsidRDefault="00A8462F" w:rsidP="00525322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3619C8" w:rsidRDefault="003619C8" w:rsidP="003619C8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Farmacovigilancia</w:t>
      </w:r>
    </w:p>
    <w:p w:rsidR="00A8462F" w:rsidRDefault="00954C0E" w:rsidP="00A8462F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hyperlink r:id="rId17" w:history="1">
        <w:r w:rsidR="00A8462F" w:rsidRPr="00552F61">
          <w:rPr>
            <w:rStyle w:val="Hipervnculo"/>
            <w:rFonts w:ascii="inherit" w:eastAsia="Times New Roman" w:hAnsi="inherit" w:cs="Open Sans"/>
            <w:sz w:val="24"/>
            <w:szCs w:val="24"/>
            <w:lang w:eastAsia="es-MX"/>
          </w:rPr>
          <w:t>https://farmacologia.cinvestav.mx/Investigadores/Dr-Gilberto-Casta%C3%B1eda</w:t>
        </w:r>
      </w:hyperlink>
    </w:p>
    <w:p w:rsidR="00A8462F" w:rsidRPr="003619C8" w:rsidRDefault="00A8462F" w:rsidP="00A8462F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3619C8" w:rsidRPr="00DF5858" w:rsidRDefault="003619C8" w:rsidP="003619C8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es-MX"/>
        </w:rPr>
      </w:pPr>
      <w:r w:rsidRPr="00DF5858">
        <w:rPr>
          <w:rFonts w:ascii="inherit" w:eastAsia="Times New Roman" w:hAnsi="inherit" w:cs="Open Sans"/>
          <w:color w:val="444444"/>
          <w:sz w:val="23"/>
          <w:szCs w:val="23"/>
          <w:lang w:eastAsia="es-MX"/>
        </w:rPr>
        <w:t>Neurobiología de la enfermedad de Parkinson</w:t>
      </w:r>
      <w:r w:rsidR="00A8462F" w:rsidRPr="00DF5858">
        <w:rPr>
          <w:rFonts w:ascii="inherit" w:eastAsia="Times New Roman" w:hAnsi="inherit" w:cs="Open Sans"/>
          <w:color w:val="444444"/>
          <w:sz w:val="23"/>
          <w:szCs w:val="23"/>
          <w:lang w:eastAsia="es-MX"/>
        </w:rPr>
        <w:t xml:space="preserve"> y Discinesias Inducidas por L-Dopa</w:t>
      </w:r>
    </w:p>
    <w:p w:rsidR="003619C8" w:rsidRPr="003619C8" w:rsidRDefault="003619C8" w:rsidP="003619C8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 xml:space="preserve">Receptores dopaminérgicos, </w:t>
      </w:r>
      <w:proofErr w:type="spellStart"/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canabinoides</w:t>
      </w:r>
      <w:proofErr w:type="spellEnd"/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 xml:space="preserve"> y </w:t>
      </w:r>
      <w:proofErr w:type="spellStart"/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adenosinérgicos</w:t>
      </w:r>
      <w:proofErr w:type="spellEnd"/>
    </w:p>
    <w:p w:rsidR="00A8462F" w:rsidRDefault="00954C0E" w:rsidP="00A8462F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hyperlink r:id="rId18" w:history="1">
        <w:r w:rsidR="00A8462F" w:rsidRPr="00552F61">
          <w:rPr>
            <w:rStyle w:val="Hipervnculo"/>
            <w:rFonts w:ascii="inherit" w:eastAsia="Times New Roman" w:hAnsi="inherit" w:cs="Open Sans"/>
            <w:sz w:val="24"/>
            <w:szCs w:val="24"/>
            <w:lang w:eastAsia="es-MX"/>
          </w:rPr>
          <w:t>https://www.fisio.cinvestav.mx/index.php?quix-image=media/quixnxt/storage/images/academicos/bfloran_308.webp&amp;dirs=academicos</w:t>
        </w:r>
      </w:hyperlink>
    </w:p>
    <w:p w:rsidR="00A8462F" w:rsidRPr="003619C8" w:rsidRDefault="00A8462F" w:rsidP="00A8462F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A8462F" w:rsidRPr="00DF5858" w:rsidRDefault="003619C8" w:rsidP="00DF5858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Diseño y desarrollo de fármacos que modulan los mecanismos de la función de proteínas</w:t>
      </w:r>
    </w:p>
    <w:p w:rsidR="00A8462F" w:rsidRPr="003619C8" w:rsidRDefault="00A8462F" w:rsidP="00A8462F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A8462F" w:rsidRDefault="003619C8" w:rsidP="00143948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  <w:r w:rsidRPr="003619C8"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  <w:t>Síntesis y determinación estructural de moléculas bioactivas</w:t>
      </w:r>
    </w:p>
    <w:p w:rsidR="00A8462F" w:rsidRDefault="00A8462F" w:rsidP="00A8462F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eastAsia="es-MX"/>
        </w:rPr>
      </w:pPr>
    </w:p>
    <w:p w:rsidR="00450A46" w:rsidRDefault="00450A46" w:rsidP="00A8462F">
      <w:pPr>
        <w:rPr>
          <w:b/>
          <w:color w:val="0070C0"/>
          <w:sz w:val="28"/>
          <w:szCs w:val="28"/>
          <w:lang w:val="es-ES"/>
        </w:rPr>
      </w:pPr>
    </w:p>
    <w:p w:rsidR="000E44FD" w:rsidRDefault="000E44FD" w:rsidP="00A8462F">
      <w:pPr>
        <w:rPr>
          <w:b/>
          <w:color w:val="0070C0"/>
          <w:sz w:val="28"/>
          <w:szCs w:val="28"/>
          <w:lang w:val="es-ES"/>
        </w:rPr>
      </w:pPr>
      <w:r>
        <w:rPr>
          <w:b/>
          <w:color w:val="0070C0"/>
          <w:sz w:val="28"/>
          <w:szCs w:val="28"/>
          <w:lang w:val="es-ES"/>
        </w:rPr>
        <w:t>Contac</w:t>
      </w:r>
      <w:r w:rsidR="00DA3FFC">
        <w:rPr>
          <w:b/>
          <w:color w:val="0070C0"/>
          <w:sz w:val="28"/>
          <w:szCs w:val="28"/>
          <w:lang w:val="es-ES"/>
        </w:rPr>
        <w:t>t</w:t>
      </w:r>
      <w:r>
        <w:rPr>
          <w:b/>
          <w:color w:val="0070C0"/>
          <w:sz w:val="28"/>
          <w:szCs w:val="28"/>
          <w:lang w:val="es-ES"/>
        </w:rPr>
        <w:t>o</w:t>
      </w:r>
    </w:p>
    <w:p w:rsidR="007B65CB" w:rsidRPr="00871BF3" w:rsidRDefault="003619C8" w:rsidP="007B65CB">
      <w:pPr>
        <w:pStyle w:val="NormalWeb"/>
        <w:spacing w:before="0" w:beforeAutospacing="0" w:after="0" w:afterAutospacing="0" w:line="360" w:lineRule="auto"/>
        <w:textAlignment w:val="baseline"/>
        <w:rPr>
          <w:rFonts w:ascii="Open Sans" w:hAnsi="Open Sans" w:cs="Open Sans"/>
          <w:color w:val="444444"/>
          <w:sz w:val="22"/>
          <w:szCs w:val="22"/>
        </w:rPr>
      </w:pPr>
      <w:r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>Sitio Web:</w:t>
      </w:r>
      <w:r w:rsidR="00450A46"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 xml:space="preserve"> </w:t>
      </w:r>
      <w:hyperlink r:id="rId19" w:history="1">
        <w:r w:rsidR="007B65CB" w:rsidRPr="00871BF3">
          <w:rPr>
            <w:rStyle w:val="Hipervnculo"/>
            <w:rFonts w:ascii="inherit" w:hAnsi="inherit" w:cs="Open Sans"/>
            <w:sz w:val="22"/>
            <w:szCs w:val="22"/>
            <w:bdr w:val="none" w:sz="0" w:space="0" w:color="auto" w:frame="1"/>
          </w:rPr>
          <w:t>https://cinvestav.mx/zacatenco/farmacologia</w:t>
        </w:r>
      </w:hyperlink>
    </w:p>
    <w:p w:rsidR="007B65CB" w:rsidRPr="00871BF3" w:rsidRDefault="003619C8" w:rsidP="007B65CB">
      <w:pPr>
        <w:pStyle w:val="NormalWeb"/>
        <w:spacing w:before="0" w:beforeAutospacing="0" w:after="0" w:afterAutospacing="0" w:line="360" w:lineRule="auto"/>
        <w:textAlignment w:val="baseline"/>
        <w:rPr>
          <w:rFonts w:ascii="Open Sans" w:hAnsi="Open Sans" w:cs="Open Sans"/>
          <w:color w:val="444444"/>
          <w:sz w:val="22"/>
          <w:szCs w:val="22"/>
        </w:rPr>
      </w:pPr>
      <w:r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>Correo electrónico:</w:t>
      </w:r>
      <w:r w:rsidR="00450A46"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 xml:space="preserve"> </w:t>
      </w:r>
      <w:hyperlink r:id="rId20" w:history="1">
        <w:r w:rsidR="007B65CB" w:rsidRPr="00871BF3">
          <w:rPr>
            <w:rStyle w:val="Hipervnculo"/>
            <w:rFonts w:ascii="inherit" w:hAnsi="inherit" w:cs="Open Sans"/>
            <w:sz w:val="22"/>
            <w:szCs w:val="22"/>
            <w:bdr w:val="none" w:sz="0" w:space="0" w:color="auto" w:frame="1"/>
          </w:rPr>
          <w:t>Coordinacion.farma@cinvestav.mx</w:t>
        </w:r>
      </w:hyperlink>
    </w:p>
    <w:p w:rsidR="007B65CB" w:rsidRPr="00871BF3" w:rsidRDefault="003619C8" w:rsidP="007B65CB">
      <w:pPr>
        <w:pStyle w:val="NormalWeb"/>
        <w:spacing w:before="0" w:beforeAutospacing="0" w:after="0" w:afterAutospacing="0"/>
        <w:textAlignment w:val="baseline"/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</w:pPr>
      <w:r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>Ubicación:</w:t>
      </w:r>
      <w:r w:rsidR="00450A46"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 xml:space="preserve"> </w:t>
      </w:r>
      <w:r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>Av. Instituto Politécnico Nacional 2508</w:t>
      </w:r>
      <w:r w:rsidR="00450A46"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 xml:space="preserve">, </w:t>
      </w:r>
      <w:r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>Col. San Pedro Zacatenco</w:t>
      </w:r>
      <w:r w:rsidR="00450A46"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 xml:space="preserve">, </w:t>
      </w:r>
      <w:r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 xml:space="preserve">México, </w:t>
      </w:r>
      <w:r w:rsidR="00450A46"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 xml:space="preserve">Ciudad de México C.P. </w:t>
      </w:r>
      <w:r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>07360</w:t>
      </w:r>
      <w:r w:rsidR="007B65CB"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>, Alcaldía Gustavo A. Madero.</w:t>
      </w:r>
      <w:r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br/>
      </w:r>
    </w:p>
    <w:p w:rsidR="003619C8" w:rsidRDefault="003619C8" w:rsidP="007B65C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27"/>
          <w:szCs w:val="27"/>
        </w:rPr>
      </w:pPr>
      <w:r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>Tel</w:t>
      </w:r>
      <w:r w:rsidR="007B65CB"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 xml:space="preserve">éfono: </w:t>
      </w:r>
      <w:r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 xml:space="preserve"> 5747 3800 </w:t>
      </w:r>
      <w:r w:rsidR="007B65CB"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>e</w:t>
      </w:r>
      <w:r w:rsidRPr="00871BF3">
        <w:rPr>
          <w:rFonts w:ascii="inherit" w:hAnsi="inherit" w:cs="Open Sans"/>
          <w:color w:val="444444"/>
          <w:sz w:val="22"/>
          <w:szCs w:val="22"/>
          <w:bdr w:val="none" w:sz="0" w:space="0" w:color="auto" w:frame="1"/>
        </w:rPr>
        <w:t>xt. 5429</w:t>
      </w:r>
      <w:r>
        <w:rPr>
          <w:rFonts w:ascii="inherit" w:hAnsi="inherit" w:cs="Open Sans"/>
          <w:color w:val="444444"/>
          <w:sz w:val="18"/>
          <w:szCs w:val="18"/>
          <w:bdr w:val="none" w:sz="0" w:space="0" w:color="auto" w:frame="1"/>
        </w:rPr>
        <w:br/>
      </w:r>
    </w:p>
    <w:p w:rsidR="003619C8" w:rsidRPr="000E44FD" w:rsidRDefault="003619C8" w:rsidP="003619C8">
      <w:pPr>
        <w:rPr>
          <w:b/>
          <w:color w:val="0070C0"/>
          <w:sz w:val="28"/>
          <w:szCs w:val="28"/>
          <w:lang w:val="es-ES"/>
        </w:rPr>
      </w:pPr>
    </w:p>
    <w:sectPr w:rsidR="003619C8" w:rsidRPr="000E44FD" w:rsidSect="00450A46">
      <w:pgSz w:w="12240" w:h="15840"/>
      <w:pgMar w:top="1418" w:right="1325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65F"/>
    <w:multiLevelType w:val="multilevel"/>
    <w:tmpl w:val="757C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1039"/>
    <w:multiLevelType w:val="multilevel"/>
    <w:tmpl w:val="FD32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F3983"/>
    <w:multiLevelType w:val="hybridMultilevel"/>
    <w:tmpl w:val="40B02EFC"/>
    <w:lvl w:ilvl="0" w:tplc="DE96D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AF2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AE9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251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CE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27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8A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A6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CC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5359"/>
    <w:multiLevelType w:val="hybridMultilevel"/>
    <w:tmpl w:val="A98850B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6C6D"/>
    <w:multiLevelType w:val="multilevel"/>
    <w:tmpl w:val="CC0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794DCC"/>
    <w:multiLevelType w:val="multilevel"/>
    <w:tmpl w:val="88B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85702"/>
    <w:multiLevelType w:val="multilevel"/>
    <w:tmpl w:val="6B72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66802"/>
    <w:multiLevelType w:val="multilevel"/>
    <w:tmpl w:val="D506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47365"/>
    <w:multiLevelType w:val="multilevel"/>
    <w:tmpl w:val="8E76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E202E"/>
    <w:multiLevelType w:val="multilevel"/>
    <w:tmpl w:val="9AEA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51E1E"/>
    <w:multiLevelType w:val="multilevel"/>
    <w:tmpl w:val="1CA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82A57"/>
    <w:multiLevelType w:val="multilevel"/>
    <w:tmpl w:val="121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07AA5"/>
    <w:multiLevelType w:val="multilevel"/>
    <w:tmpl w:val="B5AC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54862"/>
    <w:multiLevelType w:val="multilevel"/>
    <w:tmpl w:val="4FC0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D42E2"/>
    <w:multiLevelType w:val="hybridMultilevel"/>
    <w:tmpl w:val="F976AB9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85D3D"/>
    <w:multiLevelType w:val="multilevel"/>
    <w:tmpl w:val="86BC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8A33F3"/>
    <w:multiLevelType w:val="multilevel"/>
    <w:tmpl w:val="5404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17CEA"/>
    <w:multiLevelType w:val="multilevel"/>
    <w:tmpl w:val="E130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9225C3"/>
    <w:multiLevelType w:val="multilevel"/>
    <w:tmpl w:val="C82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A07812"/>
    <w:multiLevelType w:val="multilevel"/>
    <w:tmpl w:val="3D74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6475D"/>
    <w:multiLevelType w:val="hybridMultilevel"/>
    <w:tmpl w:val="1C149ED8"/>
    <w:lvl w:ilvl="0" w:tplc="F286B50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A3832"/>
    <w:multiLevelType w:val="multilevel"/>
    <w:tmpl w:val="08B0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94937"/>
    <w:multiLevelType w:val="multilevel"/>
    <w:tmpl w:val="F250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20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15"/>
  </w:num>
  <w:num w:numId="11">
    <w:abstractNumId w:val="3"/>
  </w:num>
  <w:num w:numId="12">
    <w:abstractNumId w:val="2"/>
  </w:num>
  <w:num w:numId="13">
    <w:abstractNumId w:val="4"/>
  </w:num>
  <w:num w:numId="14">
    <w:abstractNumId w:val="18"/>
  </w:num>
  <w:num w:numId="15">
    <w:abstractNumId w:val="11"/>
  </w:num>
  <w:num w:numId="16">
    <w:abstractNumId w:val="7"/>
  </w:num>
  <w:num w:numId="17">
    <w:abstractNumId w:val="21"/>
  </w:num>
  <w:num w:numId="18">
    <w:abstractNumId w:val="17"/>
  </w:num>
  <w:num w:numId="19">
    <w:abstractNumId w:val="12"/>
  </w:num>
  <w:num w:numId="20">
    <w:abstractNumId w:val="19"/>
  </w:num>
  <w:num w:numId="21">
    <w:abstractNumId w:val="0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FD"/>
    <w:rsid w:val="000E44FD"/>
    <w:rsid w:val="00127BD8"/>
    <w:rsid w:val="00143948"/>
    <w:rsid w:val="002F7BA6"/>
    <w:rsid w:val="003148AA"/>
    <w:rsid w:val="003619C8"/>
    <w:rsid w:val="003C04DA"/>
    <w:rsid w:val="00450A46"/>
    <w:rsid w:val="004B0F50"/>
    <w:rsid w:val="004E6D60"/>
    <w:rsid w:val="00511834"/>
    <w:rsid w:val="00525322"/>
    <w:rsid w:val="00661B55"/>
    <w:rsid w:val="007B65CB"/>
    <w:rsid w:val="0080160E"/>
    <w:rsid w:val="00865E95"/>
    <w:rsid w:val="00871BF3"/>
    <w:rsid w:val="008A75DD"/>
    <w:rsid w:val="008E7CE3"/>
    <w:rsid w:val="00911DF0"/>
    <w:rsid w:val="00954C0E"/>
    <w:rsid w:val="00982396"/>
    <w:rsid w:val="00A8462F"/>
    <w:rsid w:val="00B21BD9"/>
    <w:rsid w:val="00C93837"/>
    <w:rsid w:val="00CA6F4F"/>
    <w:rsid w:val="00D32272"/>
    <w:rsid w:val="00D34823"/>
    <w:rsid w:val="00DA3FFC"/>
    <w:rsid w:val="00DF3098"/>
    <w:rsid w:val="00DF5858"/>
    <w:rsid w:val="00E135DA"/>
    <w:rsid w:val="00E40CB8"/>
    <w:rsid w:val="00EB5EFC"/>
    <w:rsid w:val="00F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9438B-D951-4108-B499-723AD3E7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948"/>
  </w:style>
  <w:style w:type="paragraph" w:styleId="Ttulo2">
    <w:name w:val="heading 2"/>
    <w:basedOn w:val="Normal"/>
    <w:link w:val="Ttulo2Car"/>
    <w:uiPriority w:val="9"/>
    <w:qFormat/>
    <w:rsid w:val="000E4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0E4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04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E44F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E44F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E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E44FD"/>
    <w:rPr>
      <w:b/>
      <w:bCs/>
    </w:rPr>
  </w:style>
  <w:style w:type="character" w:customStyle="1" w:styleId="titleh2">
    <w:name w:val="titleh2"/>
    <w:basedOn w:val="Fuentedeprrafopredeter"/>
    <w:rsid w:val="000E44FD"/>
  </w:style>
  <w:style w:type="character" w:styleId="Hipervnculo">
    <w:name w:val="Hyperlink"/>
    <w:basedOn w:val="Fuentedeprrafopredeter"/>
    <w:uiPriority w:val="99"/>
    <w:unhideWhenUsed/>
    <w:rsid w:val="000E44F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3837"/>
    <w:pPr>
      <w:ind w:left="720"/>
      <w:contextualSpacing/>
    </w:pPr>
    <w:rPr>
      <w:kern w:val="2"/>
      <w14:ligatures w14:val="standardContextual"/>
    </w:rPr>
  </w:style>
  <w:style w:type="character" w:styleId="Mencinsinresolver">
    <w:name w:val="Unresolved Mention"/>
    <w:basedOn w:val="Fuentedeprrafopredeter"/>
    <w:uiPriority w:val="99"/>
    <w:semiHidden/>
    <w:unhideWhenUsed/>
    <w:rsid w:val="008E7CE3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04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merodelnea">
    <w:name w:val="line number"/>
    <w:basedOn w:val="Fuentedeprrafopredeter"/>
    <w:uiPriority w:val="99"/>
    <w:semiHidden/>
    <w:unhideWhenUsed/>
    <w:rsid w:val="003148AA"/>
  </w:style>
  <w:style w:type="table" w:customStyle="1" w:styleId="Tablaconcuadrcula1">
    <w:name w:val="Tabla con cuadrícula1"/>
    <w:basedOn w:val="Tablanormal"/>
    <w:next w:val="Tablaconcuadrcula"/>
    <w:uiPriority w:val="39"/>
    <w:rsid w:val="00450A46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5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8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2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783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6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83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macologia.cinvestav.mx/Investigadores/Dr-Francisco-J-Camacho" TargetMode="External"/><Relationship Id="rId13" Type="http://schemas.openxmlformats.org/officeDocument/2006/relationships/hyperlink" Target="https://farmacologia.cinvestav.mx/Investigadores/Dr-Pablo-Muriel" TargetMode="External"/><Relationship Id="rId18" Type="http://schemas.openxmlformats.org/officeDocument/2006/relationships/hyperlink" Target="https://www.fisio.cinvestav.mx/index.php?quix-image=media/quixnxt/storage/images/academicos/bfloran_308.webp&amp;dirs=academico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ropbox.com/sh/8t4igpd7g6m2xsu/AADubp2K8xVo3FAR5JUq0CB4a?dl=0" TargetMode="External"/><Relationship Id="rId12" Type="http://schemas.openxmlformats.org/officeDocument/2006/relationships/hyperlink" Target="https://farmacologia.cinvestav.mx/Investigadores/Dr-Jose-Antonio-Terron" TargetMode="External"/><Relationship Id="rId17" Type="http://schemas.openxmlformats.org/officeDocument/2006/relationships/hyperlink" Target="https://farmacologia.cinvestav.mx/Investigadores/Dr-Gilberto-Casta%C3%B1e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rmacologia.cinvestav.mx/Investigadores/Dr-Carlos-Hoyo" TargetMode="External"/><Relationship Id="rId20" Type="http://schemas.openxmlformats.org/officeDocument/2006/relationships/hyperlink" Target="mailto:Coordinacion.farma@cinvestav.m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rmacologia.cinvestav.mx/Portals/farmacologia/SiteDocs/01173-SOLICITUD_DE_ADMISION_MAESTRIA_2023.docx" TargetMode="External"/><Relationship Id="rId11" Type="http://schemas.openxmlformats.org/officeDocument/2006/relationships/hyperlink" Target="https://farmacologia.cinvestav.mx/Investigadores/Dr-Maria-del-Carmen-Garcia" TargetMode="External"/><Relationship Id="rId5" Type="http://schemas.openxmlformats.org/officeDocument/2006/relationships/hyperlink" Target="mailto:Coordinacion.farma@cinvestav.mx" TargetMode="External"/><Relationship Id="rId15" Type="http://schemas.openxmlformats.org/officeDocument/2006/relationships/hyperlink" Target="https://farmacologia.cinvestav.mx/Investigadores/Dr-Ranier-Guti%C3%A9rrez" TargetMode="External"/><Relationship Id="rId10" Type="http://schemas.openxmlformats.org/officeDocument/2006/relationships/hyperlink" Target="https://farmacologia.cinvestav.mx/Investigadores/Dr-Jose-Vazquez-Prado" TargetMode="External"/><Relationship Id="rId19" Type="http://schemas.openxmlformats.org/officeDocument/2006/relationships/hyperlink" Target="https://cinvestav.mx/zacatenco/farmacolo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rmacologia.cinvestav.mx/Investigadores/Dr-Jorge-Alberto-Sanchez" TargetMode="External"/><Relationship Id="rId14" Type="http://schemas.openxmlformats.org/officeDocument/2006/relationships/hyperlink" Target="https://farmacologia.cinvestav.mx/Investigadores/Dra-Claudia-P%C3%A9rez-Cru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1022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Cinvestav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Maricela Fernández Campos</dc:creator>
  <cp:keywords/>
  <dc:description/>
  <cp:lastModifiedBy>Lucero Maricela Fernández Campos</cp:lastModifiedBy>
  <cp:revision>9</cp:revision>
  <cp:lastPrinted>2025-03-21T14:52:00Z</cp:lastPrinted>
  <dcterms:created xsi:type="dcterms:W3CDTF">2025-03-11T20:58:00Z</dcterms:created>
  <dcterms:modified xsi:type="dcterms:W3CDTF">2025-03-21T15:29:00Z</dcterms:modified>
</cp:coreProperties>
</file>